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FFEE3" w14:textId="77777777" w:rsidR="00215D6B" w:rsidRDefault="00EE5B94">
      <w:pPr>
        <w:spacing w:after="200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 wp14:anchorId="4FEB7D45" wp14:editId="18318D18">
            <wp:simplePos x="0" y="0"/>
            <wp:positionH relativeFrom="column">
              <wp:posOffset>-1108075</wp:posOffset>
            </wp:positionH>
            <wp:positionV relativeFrom="paragraph">
              <wp:posOffset>-194310</wp:posOffset>
            </wp:positionV>
            <wp:extent cx="8002905" cy="3119755"/>
            <wp:effectExtent l="0" t="0" r="0" b="0"/>
            <wp:wrapNone/>
            <wp:docPr id="2" name="image1.png" descr="Untitled-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Untitled-1.jpg"/>
                    <pic:cNvPicPr preferRelativeResize="0"/>
                  </pic:nvPicPr>
                  <pic:blipFill>
                    <a:blip r:embed="rId6"/>
                    <a:srcRect l="13419" r="13419"/>
                    <a:stretch>
                      <a:fillRect/>
                    </a:stretch>
                  </pic:blipFill>
                  <pic:spPr>
                    <a:xfrm>
                      <a:off x="0" y="0"/>
                      <a:ext cx="8002905" cy="31197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6320881" w14:textId="77777777" w:rsidR="00215D6B" w:rsidRDefault="00215D6B">
      <w:pPr>
        <w:spacing w:after="200"/>
        <w:rPr>
          <w:rFonts w:ascii="Calibri" w:eastAsia="Calibri" w:hAnsi="Calibri" w:cs="Calibri"/>
          <w:sz w:val="24"/>
          <w:szCs w:val="24"/>
        </w:rPr>
      </w:pPr>
    </w:p>
    <w:p w14:paraId="287D25FD" w14:textId="77777777" w:rsidR="00215D6B" w:rsidRDefault="00215D6B">
      <w:pPr>
        <w:spacing w:after="200"/>
        <w:rPr>
          <w:rFonts w:ascii="Calibri" w:eastAsia="Calibri" w:hAnsi="Calibri" w:cs="Calibri"/>
          <w:sz w:val="24"/>
          <w:szCs w:val="24"/>
        </w:rPr>
      </w:pPr>
    </w:p>
    <w:p w14:paraId="64272EAE" w14:textId="77777777" w:rsidR="00215D6B" w:rsidRDefault="00215D6B" w:rsidP="00DD52FB">
      <w:pPr>
        <w:spacing w:after="200"/>
        <w:jc w:val="right"/>
        <w:rPr>
          <w:rFonts w:ascii="Calibri" w:eastAsia="Calibri" w:hAnsi="Calibri" w:cs="Calibri"/>
          <w:sz w:val="24"/>
          <w:szCs w:val="24"/>
        </w:rPr>
      </w:pPr>
    </w:p>
    <w:p w14:paraId="4E36A5E6" w14:textId="77777777" w:rsidR="00215D6B" w:rsidRDefault="00215D6B">
      <w:pPr>
        <w:spacing w:after="200"/>
        <w:rPr>
          <w:rFonts w:ascii="Calibri" w:eastAsia="Calibri" w:hAnsi="Calibri" w:cs="Calibri"/>
          <w:sz w:val="24"/>
          <w:szCs w:val="24"/>
        </w:rPr>
      </w:pPr>
    </w:p>
    <w:p w14:paraId="2187367B" w14:textId="77777777" w:rsidR="00215D6B" w:rsidRDefault="00215D6B">
      <w:pPr>
        <w:spacing w:after="200"/>
        <w:rPr>
          <w:rFonts w:ascii="Calibri" w:eastAsia="Calibri" w:hAnsi="Calibri" w:cs="Calibri"/>
          <w:sz w:val="24"/>
          <w:szCs w:val="24"/>
        </w:rPr>
      </w:pPr>
    </w:p>
    <w:p w14:paraId="5B41E2ED" w14:textId="77777777" w:rsidR="00215D6B" w:rsidRPr="00180C15" w:rsidRDefault="00215D6B">
      <w:pPr>
        <w:spacing w:after="200"/>
        <w:jc w:val="right"/>
        <w:rPr>
          <w:rFonts w:asciiTheme="majorHAnsi" w:hAnsiTheme="majorHAnsi"/>
          <w:sz w:val="24"/>
          <w:szCs w:val="24"/>
        </w:rPr>
      </w:pPr>
    </w:p>
    <w:p w14:paraId="09AB7A90" w14:textId="77777777" w:rsidR="00A170C7" w:rsidRDefault="00A170C7" w:rsidP="008C506B">
      <w:pPr>
        <w:spacing w:line="360" w:lineRule="auto"/>
        <w:contextualSpacing/>
        <w:outlineLvl w:val="0"/>
        <w:rPr>
          <w:rFonts w:asciiTheme="majorHAnsi" w:eastAsia="Times New Roman" w:hAnsiTheme="majorHAnsi"/>
          <w:color w:val="000000"/>
          <w:lang w:val="en-GB"/>
        </w:rPr>
      </w:pPr>
    </w:p>
    <w:p w14:paraId="12899F56" w14:textId="77777777" w:rsidR="00A170C7" w:rsidRDefault="00A170C7" w:rsidP="008C506B">
      <w:pPr>
        <w:spacing w:line="360" w:lineRule="auto"/>
        <w:contextualSpacing/>
        <w:outlineLvl w:val="0"/>
        <w:rPr>
          <w:rFonts w:asciiTheme="majorHAnsi" w:eastAsia="Times New Roman" w:hAnsiTheme="majorHAnsi"/>
          <w:color w:val="000000"/>
          <w:lang w:val="en-GB"/>
        </w:rPr>
      </w:pPr>
    </w:p>
    <w:p w14:paraId="44B2627C" w14:textId="77777777" w:rsidR="00A170C7" w:rsidRDefault="00A170C7" w:rsidP="008C506B">
      <w:pPr>
        <w:spacing w:line="360" w:lineRule="auto"/>
        <w:contextualSpacing/>
        <w:outlineLvl w:val="0"/>
        <w:rPr>
          <w:rFonts w:asciiTheme="majorHAnsi" w:eastAsia="Times New Roman" w:hAnsiTheme="majorHAnsi"/>
          <w:color w:val="000000"/>
          <w:lang w:val="en-GB"/>
        </w:rPr>
      </w:pPr>
    </w:p>
    <w:p w14:paraId="0A790A63" w14:textId="77777777" w:rsidR="008C506B" w:rsidRPr="00180C15" w:rsidRDefault="008C506B" w:rsidP="008C506B">
      <w:pPr>
        <w:spacing w:line="360" w:lineRule="auto"/>
        <w:contextualSpacing/>
        <w:outlineLvl w:val="0"/>
        <w:rPr>
          <w:rFonts w:asciiTheme="majorHAnsi" w:eastAsia="Times New Roman" w:hAnsiTheme="majorHAnsi"/>
          <w:color w:val="000000"/>
        </w:rPr>
      </w:pPr>
      <w:r w:rsidRPr="00180C15">
        <w:rPr>
          <w:rFonts w:asciiTheme="majorHAnsi" w:eastAsia="Times New Roman" w:hAnsiTheme="majorHAnsi"/>
          <w:color w:val="000000"/>
        </w:rPr>
        <w:t xml:space="preserve">Γραφείο Δημοσίων Σχέσεων </w:t>
      </w:r>
    </w:p>
    <w:p w14:paraId="60903B8C" w14:textId="77777777" w:rsidR="008C506B" w:rsidRPr="00180C15" w:rsidRDefault="008C506B" w:rsidP="008C506B">
      <w:pPr>
        <w:spacing w:line="360" w:lineRule="auto"/>
        <w:contextualSpacing/>
        <w:outlineLvl w:val="0"/>
        <w:rPr>
          <w:rFonts w:asciiTheme="majorHAnsi" w:eastAsia="Times New Roman" w:hAnsiTheme="majorHAnsi"/>
          <w:color w:val="000000"/>
        </w:rPr>
      </w:pPr>
      <w:r w:rsidRPr="00180C15">
        <w:rPr>
          <w:rFonts w:asciiTheme="majorHAnsi" w:eastAsia="Times New Roman" w:hAnsiTheme="majorHAnsi"/>
          <w:color w:val="000000"/>
        </w:rPr>
        <w:t xml:space="preserve"> </w:t>
      </w:r>
      <w:hyperlink r:id="rId7" w:history="1">
        <w:r w:rsidRPr="00180C15">
          <w:rPr>
            <w:rStyle w:val="Hyperlink"/>
            <w:rFonts w:asciiTheme="majorHAnsi" w:eastAsia="Times New Roman" w:hAnsiTheme="majorHAnsi"/>
            <w:lang w:val="en-US"/>
          </w:rPr>
          <w:t>pressoffice</w:t>
        </w:r>
        <w:r w:rsidRPr="00180C15">
          <w:rPr>
            <w:rStyle w:val="Hyperlink"/>
            <w:rFonts w:asciiTheme="majorHAnsi" w:eastAsia="Times New Roman" w:hAnsiTheme="majorHAnsi"/>
          </w:rPr>
          <w:t>@</w:t>
        </w:r>
        <w:r w:rsidRPr="00180C15">
          <w:rPr>
            <w:rStyle w:val="Hyperlink"/>
            <w:rFonts w:asciiTheme="majorHAnsi" w:eastAsia="Times New Roman" w:hAnsiTheme="majorHAnsi"/>
            <w:lang w:val="en-US"/>
          </w:rPr>
          <w:t>ktimatologio</w:t>
        </w:r>
        <w:r w:rsidRPr="00180C15">
          <w:rPr>
            <w:rStyle w:val="Hyperlink"/>
            <w:rFonts w:asciiTheme="majorHAnsi" w:eastAsia="Times New Roman" w:hAnsiTheme="majorHAnsi"/>
          </w:rPr>
          <w:t>.</w:t>
        </w:r>
        <w:r w:rsidRPr="00180C15">
          <w:rPr>
            <w:rStyle w:val="Hyperlink"/>
            <w:rFonts w:asciiTheme="majorHAnsi" w:eastAsia="Times New Roman" w:hAnsiTheme="majorHAnsi"/>
            <w:lang w:val="en-US"/>
          </w:rPr>
          <w:t>gr</w:t>
        </w:r>
      </w:hyperlink>
      <w:r w:rsidRPr="00180C15">
        <w:rPr>
          <w:rFonts w:asciiTheme="majorHAnsi" w:eastAsia="Times New Roman" w:hAnsiTheme="majorHAnsi"/>
          <w:color w:val="000000"/>
        </w:rPr>
        <w:t xml:space="preserve">                                                                                              </w:t>
      </w:r>
    </w:p>
    <w:p w14:paraId="184963EC" w14:textId="77777777" w:rsidR="0012679E" w:rsidRDefault="0012679E" w:rsidP="008C506B">
      <w:pPr>
        <w:spacing w:line="360" w:lineRule="auto"/>
        <w:contextualSpacing/>
        <w:jc w:val="right"/>
        <w:outlineLvl w:val="0"/>
        <w:rPr>
          <w:rFonts w:eastAsia="Times New Roman"/>
          <w:color w:val="000000"/>
        </w:rPr>
      </w:pPr>
    </w:p>
    <w:p w14:paraId="528B0417" w14:textId="6D5C4ACB" w:rsidR="008C506B" w:rsidRPr="00180C15" w:rsidRDefault="008C506B" w:rsidP="008C506B">
      <w:pPr>
        <w:spacing w:line="360" w:lineRule="auto"/>
        <w:contextualSpacing/>
        <w:jc w:val="right"/>
        <w:outlineLvl w:val="0"/>
        <w:rPr>
          <w:rFonts w:asciiTheme="majorHAnsi" w:eastAsia="Times New Roman" w:hAnsiTheme="majorHAnsi"/>
          <w:color w:val="000000"/>
        </w:rPr>
      </w:pPr>
      <w:r w:rsidRPr="005B6403">
        <w:rPr>
          <w:rFonts w:eastAsia="Times New Roman"/>
          <w:color w:val="000000"/>
        </w:rPr>
        <w:t xml:space="preserve">   </w:t>
      </w:r>
      <w:r w:rsidR="00CB1B25" w:rsidRPr="00F204B4">
        <w:rPr>
          <w:rFonts w:asciiTheme="majorHAnsi" w:eastAsia="Times New Roman" w:hAnsiTheme="majorHAnsi"/>
          <w:color w:val="000000"/>
        </w:rPr>
        <w:t>Χολαργός</w:t>
      </w:r>
      <w:r w:rsidR="000F367F">
        <w:rPr>
          <w:rFonts w:asciiTheme="majorHAnsi" w:eastAsia="Times New Roman" w:hAnsiTheme="majorHAnsi"/>
          <w:color w:val="000000"/>
        </w:rPr>
        <w:t>,</w:t>
      </w:r>
      <w:r w:rsidR="0079557C">
        <w:rPr>
          <w:rFonts w:asciiTheme="majorHAnsi" w:eastAsia="Times New Roman" w:hAnsiTheme="majorHAnsi"/>
          <w:color w:val="000000"/>
        </w:rPr>
        <w:t xml:space="preserve"> </w:t>
      </w:r>
      <w:r w:rsidR="009E408B" w:rsidRPr="0004379D">
        <w:rPr>
          <w:rFonts w:asciiTheme="majorHAnsi" w:eastAsia="Times New Roman" w:hAnsiTheme="majorHAnsi"/>
          <w:color w:val="000000"/>
        </w:rPr>
        <w:t>1</w:t>
      </w:r>
      <w:r w:rsidR="00A91192">
        <w:rPr>
          <w:rFonts w:asciiTheme="majorHAnsi" w:eastAsia="Times New Roman" w:hAnsiTheme="majorHAnsi"/>
          <w:color w:val="000000"/>
        </w:rPr>
        <w:t xml:space="preserve"> </w:t>
      </w:r>
      <w:r w:rsidR="00396672">
        <w:rPr>
          <w:rFonts w:asciiTheme="majorHAnsi" w:eastAsia="Times New Roman" w:hAnsiTheme="majorHAnsi"/>
          <w:color w:val="000000"/>
        </w:rPr>
        <w:t>Σεπτεμβρίου</w:t>
      </w:r>
      <w:r w:rsidR="00A91192">
        <w:rPr>
          <w:rFonts w:asciiTheme="majorHAnsi" w:eastAsia="Times New Roman" w:hAnsiTheme="majorHAnsi"/>
          <w:color w:val="000000"/>
        </w:rPr>
        <w:t xml:space="preserve"> 2025</w:t>
      </w:r>
    </w:p>
    <w:p w14:paraId="3A28B867" w14:textId="77777777" w:rsidR="0012679E" w:rsidRDefault="008C506B" w:rsidP="008C506B">
      <w:pPr>
        <w:spacing w:line="360" w:lineRule="auto"/>
        <w:ind w:left="567"/>
        <w:contextualSpacing/>
        <w:jc w:val="both"/>
        <w:rPr>
          <w:rFonts w:asciiTheme="majorHAnsi" w:eastAsia="Times New Roman" w:hAnsiTheme="majorHAnsi"/>
          <w:color w:val="000000"/>
        </w:rPr>
      </w:pPr>
      <w:r w:rsidRPr="00180C15">
        <w:rPr>
          <w:rFonts w:asciiTheme="majorHAnsi" w:eastAsia="Times New Roman" w:hAnsiTheme="majorHAnsi"/>
          <w:color w:val="000000"/>
        </w:rPr>
        <w:t xml:space="preserve">ΠΡΟΣ ΜΜΕ </w:t>
      </w:r>
    </w:p>
    <w:p w14:paraId="3E632F1F" w14:textId="77777777" w:rsidR="000F3FC0" w:rsidRDefault="000F3FC0" w:rsidP="000F3FC0">
      <w:pPr>
        <w:pStyle w:val="PlainText"/>
      </w:pPr>
    </w:p>
    <w:p w14:paraId="7DAE0527" w14:textId="77777777" w:rsidR="006970A0" w:rsidRDefault="006970A0" w:rsidP="000F3FC0">
      <w:pPr>
        <w:pStyle w:val="PlainText"/>
        <w:spacing w:line="360" w:lineRule="auto"/>
        <w:rPr>
          <w:rFonts w:eastAsia="Calibri" w:cs="Arial"/>
          <w:color w:val="000000"/>
          <w:szCs w:val="22"/>
          <w:lang w:eastAsia="el-GR"/>
        </w:rPr>
      </w:pPr>
    </w:p>
    <w:p w14:paraId="727429A3" w14:textId="77777777" w:rsidR="006970A0" w:rsidRPr="001D72F7" w:rsidRDefault="006970A0" w:rsidP="006970A0">
      <w:pPr>
        <w:spacing w:before="240" w:after="240"/>
        <w:jc w:val="center"/>
        <w:rPr>
          <w:rFonts w:asciiTheme="majorHAnsi" w:hAnsiTheme="majorHAnsi"/>
          <w:b/>
          <w:bCs/>
          <w:color w:val="003366"/>
          <w:sz w:val="26"/>
          <w:szCs w:val="26"/>
        </w:rPr>
      </w:pPr>
      <w:r w:rsidRPr="001D72F7">
        <w:rPr>
          <w:rFonts w:asciiTheme="majorHAnsi" w:hAnsiTheme="majorHAnsi"/>
          <w:b/>
          <w:bCs/>
          <w:color w:val="003366"/>
          <w:sz w:val="26"/>
          <w:szCs w:val="26"/>
        </w:rPr>
        <w:t>Κτηματολόγιο: Δεν υπάρχει κανένα ζήτημα στη διαδικασία καταχώρισης αποφάσεων χρησικτησίας</w:t>
      </w:r>
    </w:p>
    <w:p w14:paraId="5A6A6EA3" w14:textId="0B1A64AA" w:rsidR="00111911" w:rsidRDefault="006970A0" w:rsidP="00111911">
      <w:pPr>
        <w:spacing w:line="360" w:lineRule="auto"/>
        <w:jc w:val="both"/>
        <w:rPr>
          <w:rFonts w:asciiTheme="majorHAnsi" w:eastAsia="Tahoma" w:hAnsiTheme="majorHAnsi" w:cstheme="majorHAnsi"/>
        </w:rPr>
      </w:pPr>
      <w:r w:rsidRPr="00885C7B">
        <w:rPr>
          <w:rFonts w:asciiTheme="majorHAnsi" w:eastAsia="Tahoma" w:hAnsiTheme="majorHAnsi" w:cstheme="majorHAnsi"/>
        </w:rPr>
        <w:t xml:space="preserve">Με αφορμή πρόσφατη υπόθεση χρησικτησίας που αναφέρεται σε δημοσιεύματα και ενόψει της ολοκλήρωσης της </w:t>
      </w:r>
      <w:proofErr w:type="spellStart"/>
      <w:r w:rsidRPr="00885C7B">
        <w:rPr>
          <w:rFonts w:asciiTheme="majorHAnsi" w:eastAsia="Tahoma" w:hAnsiTheme="majorHAnsi" w:cstheme="majorHAnsi"/>
        </w:rPr>
        <w:t>κτηματογράφησης</w:t>
      </w:r>
      <w:proofErr w:type="spellEnd"/>
      <w:r w:rsidRPr="00885C7B">
        <w:rPr>
          <w:rFonts w:asciiTheme="majorHAnsi" w:eastAsia="Tahoma" w:hAnsiTheme="majorHAnsi" w:cstheme="majorHAnsi"/>
        </w:rPr>
        <w:t xml:space="preserve">, προέκυψε η ανάγκη διευκρίνισης του τρόπου εφαρμογής των σχετικών διατάξεων και της υλοποίησης στην πράξη των δικαστικών αποφάσεων. </w:t>
      </w:r>
    </w:p>
    <w:p w14:paraId="72540AC9" w14:textId="77777777" w:rsidR="00111911" w:rsidRDefault="00111911" w:rsidP="00111911">
      <w:pPr>
        <w:spacing w:line="360" w:lineRule="auto"/>
        <w:jc w:val="both"/>
        <w:rPr>
          <w:rFonts w:asciiTheme="majorHAnsi" w:eastAsia="Tahoma" w:hAnsiTheme="majorHAnsi" w:cstheme="majorHAnsi"/>
        </w:rPr>
      </w:pPr>
    </w:p>
    <w:p w14:paraId="6FD428CD" w14:textId="7C126994" w:rsidR="00992AFA" w:rsidRPr="00111911" w:rsidRDefault="00992AFA" w:rsidP="00111911">
      <w:pPr>
        <w:spacing w:line="360" w:lineRule="auto"/>
        <w:jc w:val="both"/>
        <w:rPr>
          <w:rFonts w:asciiTheme="majorHAnsi" w:eastAsia="Tahoma" w:hAnsiTheme="majorHAnsi" w:cstheme="majorHAnsi"/>
        </w:rPr>
      </w:pPr>
      <w:r w:rsidRPr="00111911">
        <w:rPr>
          <w:rFonts w:asciiTheme="majorHAnsi" w:eastAsia="Tahoma" w:hAnsiTheme="majorHAnsi" w:cstheme="majorHAnsi"/>
        </w:rPr>
        <w:t>Συγκεκριμένα, ο νόμος 2664/1998 προβλέπει τη δυνατότητα προσφυγής στον Κτηματολογικό Δικαστή για την επίλυση θεμάτων σε περιπτώσεις που ανακύπτουν ζητήματα από την απόρριψη αιτημάτων για την εγγραφή πράξεων στα κτηματολογικά βιβλία.</w:t>
      </w:r>
      <w:r w:rsidR="00024FB5" w:rsidRPr="00111911">
        <w:rPr>
          <w:rFonts w:asciiTheme="majorHAnsi" w:eastAsia="Tahoma" w:hAnsiTheme="majorHAnsi" w:cstheme="majorHAnsi"/>
        </w:rPr>
        <w:t xml:space="preserve"> </w:t>
      </w:r>
      <w:r w:rsidRPr="00111911">
        <w:rPr>
          <w:rFonts w:asciiTheme="majorHAnsi" w:eastAsia="Tahoma" w:hAnsiTheme="majorHAnsi" w:cstheme="majorHAnsi"/>
        </w:rPr>
        <w:t xml:space="preserve">Πρόκειται για διαδικασία που δεν εγείρει αντιδικία με τον </w:t>
      </w:r>
      <w:r w:rsidR="0004379D" w:rsidRPr="00111911">
        <w:rPr>
          <w:rFonts w:asciiTheme="majorHAnsi" w:eastAsia="Tahoma" w:hAnsiTheme="majorHAnsi" w:cstheme="majorHAnsi"/>
        </w:rPr>
        <w:t>Προϊστάμενο</w:t>
      </w:r>
      <w:r w:rsidRPr="00111911">
        <w:rPr>
          <w:rFonts w:asciiTheme="majorHAnsi" w:eastAsia="Tahoma" w:hAnsiTheme="majorHAnsi" w:cstheme="majorHAnsi"/>
        </w:rPr>
        <w:t xml:space="preserve"> του Κτημα</w:t>
      </w:r>
      <w:r w:rsidR="0004379D" w:rsidRPr="00111911">
        <w:rPr>
          <w:rFonts w:asciiTheme="majorHAnsi" w:eastAsia="Tahoma" w:hAnsiTheme="majorHAnsi" w:cstheme="majorHAnsi"/>
        </w:rPr>
        <w:t>τ</w:t>
      </w:r>
      <w:r w:rsidRPr="00111911">
        <w:rPr>
          <w:rFonts w:asciiTheme="majorHAnsi" w:eastAsia="Tahoma" w:hAnsiTheme="majorHAnsi" w:cstheme="majorHAnsi"/>
        </w:rPr>
        <w:t>ολογικού Γραφείου και ο Δικαστής αξιολογεί την ορθότητα και τη βασιμότητα της απορριπτικής απόφασης του πρώτου. Κάθε απόφαση που εκδίδεται κατά τη διαδικασία αυτή,  είναι άμεσα εκτελεστή και εφαρμοστέα από τον οικείο Προϊστάμενο.</w:t>
      </w:r>
      <w:r w:rsidR="007F3421" w:rsidRPr="00111911">
        <w:rPr>
          <w:rFonts w:asciiTheme="majorHAnsi" w:eastAsia="Tahoma" w:hAnsiTheme="majorHAnsi" w:cstheme="majorHAnsi"/>
        </w:rPr>
        <w:t xml:space="preserve"> </w:t>
      </w:r>
      <w:r w:rsidRPr="00111911">
        <w:rPr>
          <w:rFonts w:asciiTheme="majorHAnsi" w:eastAsia="Tahoma" w:hAnsiTheme="majorHAnsi" w:cstheme="majorHAnsi"/>
        </w:rPr>
        <w:t>Η σχετική περιπτωσιολογία αξιολογείται περαιτέρω από τη νομική υπηρεσία του Φορέα Ελληνικό Κτηματολόγιο, ώστε να ενταχθεί στο πλαίσιο των ενιαίων κανόνων εφαρμογής της κτηματολογικής νομοθεσίας.</w:t>
      </w:r>
    </w:p>
    <w:p w14:paraId="62F69EAF" w14:textId="2A32834E" w:rsidR="0004379D" w:rsidRDefault="0004379D" w:rsidP="00117F86">
      <w:pPr>
        <w:pStyle w:val="PlainText"/>
        <w:spacing w:line="360" w:lineRule="auto"/>
        <w:jc w:val="both"/>
        <w:rPr>
          <w:rFonts w:eastAsia="Calibri" w:cs="Arial"/>
          <w:color w:val="000000"/>
          <w:szCs w:val="22"/>
          <w:lang w:eastAsia="el-GR"/>
        </w:rPr>
      </w:pPr>
    </w:p>
    <w:p w14:paraId="6EE4181B" w14:textId="77777777" w:rsidR="0004379D" w:rsidRPr="0004379D" w:rsidRDefault="0004379D" w:rsidP="00117F86">
      <w:pPr>
        <w:pStyle w:val="PlainText"/>
        <w:spacing w:line="360" w:lineRule="auto"/>
        <w:jc w:val="both"/>
        <w:rPr>
          <w:rFonts w:eastAsia="Calibri" w:cs="Arial"/>
          <w:color w:val="000000"/>
          <w:szCs w:val="22"/>
          <w:lang w:eastAsia="el-GR"/>
        </w:rPr>
      </w:pPr>
    </w:p>
    <w:p w14:paraId="55BBC582" w14:textId="694CF8C7" w:rsidR="0004379D" w:rsidRDefault="006970A0" w:rsidP="00117F86">
      <w:pPr>
        <w:spacing w:line="360" w:lineRule="auto"/>
        <w:jc w:val="both"/>
        <w:rPr>
          <w:rFonts w:asciiTheme="majorHAnsi" w:eastAsia="Tahoma" w:hAnsiTheme="majorHAnsi" w:cstheme="majorHAnsi"/>
        </w:rPr>
      </w:pPr>
      <w:r w:rsidRPr="00C11D16">
        <w:rPr>
          <w:rFonts w:asciiTheme="majorHAnsi" w:eastAsia="Tahoma" w:hAnsiTheme="majorHAnsi" w:cstheme="majorHAnsi"/>
        </w:rPr>
        <w:t>Αναλυτικότερα:</w:t>
      </w:r>
    </w:p>
    <w:p w14:paraId="58E30F8A" w14:textId="77777777" w:rsidR="00111911" w:rsidRPr="00C11D16" w:rsidRDefault="00111911" w:rsidP="00117F86">
      <w:pPr>
        <w:spacing w:line="360" w:lineRule="auto"/>
        <w:jc w:val="both"/>
        <w:rPr>
          <w:rFonts w:asciiTheme="majorHAnsi" w:eastAsia="Tahoma" w:hAnsiTheme="majorHAnsi" w:cstheme="majorHAnsi"/>
        </w:rPr>
      </w:pPr>
    </w:p>
    <w:p w14:paraId="01941123" w14:textId="77777777" w:rsidR="006970A0" w:rsidRPr="00B566B2" w:rsidRDefault="006970A0" w:rsidP="00111911">
      <w:pPr>
        <w:pStyle w:val="Heading3"/>
        <w:keepNext w:val="0"/>
        <w:keepLines w:val="0"/>
        <w:spacing w:before="0" w:after="0" w:line="360" w:lineRule="auto"/>
        <w:jc w:val="both"/>
        <w:rPr>
          <w:rFonts w:asciiTheme="majorHAnsi" w:eastAsia="Tahoma" w:hAnsiTheme="majorHAnsi" w:cstheme="majorHAnsi"/>
          <w:b/>
          <w:color w:val="000000"/>
          <w:sz w:val="22"/>
          <w:szCs w:val="22"/>
        </w:rPr>
      </w:pPr>
      <w:bookmarkStart w:id="0" w:name="_f4xxnbpg7l5s" w:colFirst="0" w:colLast="0"/>
      <w:bookmarkEnd w:id="0"/>
      <w:r w:rsidRPr="00B566B2">
        <w:rPr>
          <w:rFonts w:asciiTheme="majorHAnsi" w:eastAsia="Tahoma" w:hAnsiTheme="majorHAnsi" w:cstheme="majorHAnsi"/>
          <w:b/>
          <w:color w:val="000000"/>
          <w:sz w:val="22"/>
          <w:szCs w:val="22"/>
        </w:rPr>
        <w:t>Η προβλεπόμενη διαδικασία ισχύει από το 1998</w:t>
      </w:r>
    </w:p>
    <w:p w14:paraId="1E15A4CC" w14:textId="1F9500D1" w:rsidR="00250004" w:rsidRPr="0004379D" w:rsidRDefault="00250004" w:rsidP="00111911">
      <w:pPr>
        <w:pStyle w:val="PlainText"/>
        <w:spacing w:line="360" w:lineRule="auto"/>
        <w:jc w:val="both"/>
        <w:rPr>
          <w:rFonts w:asciiTheme="majorHAnsi" w:eastAsia="Calibri" w:hAnsiTheme="majorHAnsi" w:cstheme="majorHAnsi"/>
          <w:b/>
          <w:bCs/>
          <w:color w:val="000000"/>
          <w:szCs w:val="22"/>
          <w:lang w:eastAsia="el-GR"/>
        </w:rPr>
      </w:pP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Η προβλεπόμενη διαδικασία, δηλαδή η προσφυγή στην εκούσια δικαιοδοσία για την επίλυση ερμηνευτικών ζητημάτων,  ισχύει από το έτος 1998 και περιλαμβάνεται στις βασικές διατάξεις του ίδιου νόμου όπως ίσχυσαν από την πρώτη εφαρμογή του. </w:t>
      </w:r>
      <w:r w:rsidRPr="0004379D">
        <w:rPr>
          <w:rFonts w:asciiTheme="majorHAnsi" w:eastAsia="Calibri" w:hAnsiTheme="majorHAnsi" w:cstheme="majorHAnsi"/>
          <w:b/>
          <w:bCs/>
          <w:color w:val="000000"/>
          <w:szCs w:val="22"/>
          <w:lang w:eastAsia="el-GR"/>
        </w:rPr>
        <w:t>Δεν είναι κάτι καινούριο!</w:t>
      </w:r>
    </w:p>
    <w:p w14:paraId="324D1DAE" w14:textId="77777777" w:rsidR="0004379D" w:rsidRPr="00C11D16" w:rsidRDefault="0004379D" w:rsidP="00111911">
      <w:pPr>
        <w:pStyle w:val="PlainText"/>
        <w:spacing w:line="360" w:lineRule="auto"/>
        <w:jc w:val="both"/>
        <w:rPr>
          <w:rFonts w:asciiTheme="majorHAnsi" w:eastAsia="Calibri" w:hAnsiTheme="majorHAnsi" w:cstheme="majorHAnsi"/>
          <w:color w:val="000000"/>
          <w:szCs w:val="22"/>
          <w:lang w:eastAsia="el-GR"/>
        </w:rPr>
      </w:pPr>
    </w:p>
    <w:p w14:paraId="1F46A08E" w14:textId="77777777" w:rsidR="006970A0" w:rsidRPr="00C11D16" w:rsidRDefault="006970A0" w:rsidP="00111911">
      <w:pPr>
        <w:pStyle w:val="Heading3"/>
        <w:keepNext w:val="0"/>
        <w:keepLines w:val="0"/>
        <w:spacing w:before="0" w:after="0" w:line="360" w:lineRule="auto"/>
        <w:jc w:val="both"/>
        <w:rPr>
          <w:rFonts w:asciiTheme="majorHAnsi" w:eastAsia="Tahoma" w:hAnsiTheme="majorHAnsi" w:cstheme="majorHAnsi"/>
          <w:b/>
          <w:color w:val="000000"/>
          <w:sz w:val="22"/>
          <w:szCs w:val="22"/>
        </w:rPr>
      </w:pPr>
      <w:bookmarkStart w:id="1" w:name="_5nl226bdwio" w:colFirst="0" w:colLast="0"/>
      <w:bookmarkEnd w:id="1"/>
      <w:r w:rsidRPr="00C11D16">
        <w:rPr>
          <w:rFonts w:asciiTheme="majorHAnsi" w:eastAsia="Tahoma" w:hAnsiTheme="majorHAnsi" w:cstheme="majorHAnsi"/>
          <w:b/>
          <w:color w:val="000000"/>
          <w:sz w:val="22"/>
          <w:szCs w:val="22"/>
        </w:rPr>
        <w:t>Η συγκεκριμένη υπόθεση</w:t>
      </w:r>
    </w:p>
    <w:p w14:paraId="6994F400" w14:textId="521DF026" w:rsidR="00F038DC" w:rsidRDefault="00F038DC" w:rsidP="00111911">
      <w:pPr>
        <w:pStyle w:val="PlainText"/>
        <w:spacing w:line="360" w:lineRule="auto"/>
        <w:jc w:val="both"/>
        <w:rPr>
          <w:rFonts w:asciiTheme="majorHAnsi" w:eastAsia="Calibri" w:hAnsiTheme="majorHAnsi" w:cstheme="majorHAnsi"/>
          <w:color w:val="000000"/>
          <w:szCs w:val="22"/>
          <w:lang w:eastAsia="el-GR"/>
        </w:rPr>
      </w:pP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Σε δίκη χρησικτησίας για την αναγνώριση κυριότητας μεταξύ ιδιωτών, σε </w:t>
      </w:r>
      <w:proofErr w:type="spellStart"/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>κτηματογραφημένο</w:t>
      </w:r>
      <w:proofErr w:type="spellEnd"/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ακίνητο στον ΟΤΑ Αγ. Βαρβάρας Αττικής, επί αγωγής που ασκήθηκε ενώπιον Ειρηνοδικείου, μετά την έναρξη λειτουργίας του Κτηματολογίου, </w:t>
      </w:r>
      <w:proofErr w:type="spellStart"/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>εξεδ</w:t>
      </w:r>
      <w:r w:rsidR="0039576C">
        <w:rPr>
          <w:rFonts w:asciiTheme="majorHAnsi" w:eastAsia="Calibri" w:hAnsiTheme="majorHAnsi" w:cstheme="majorHAnsi"/>
          <w:color w:val="000000"/>
          <w:szCs w:val="22"/>
          <w:lang w:eastAsia="el-GR"/>
        </w:rPr>
        <w:t>ό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>θη</w:t>
      </w:r>
      <w:proofErr w:type="spellEnd"/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δικαστική απόφαση που αναγνώρισε την κυριότητα του ε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lastRenderedPageBreak/>
        <w:t>νάγοντα.</w:t>
      </w:r>
      <w:r w:rsidR="00D16A27"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>Ο ν</w:t>
      </w:r>
      <w:r w:rsidR="00A112AF">
        <w:rPr>
          <w:rFonts w:asciiTheme="majorHAnsi" w:eastAsia="Calibri" w:hAnsiTheme="majorHAnsi" w:cstheme="majorHAnsi"/>
          <w:color w:val="000000"/>
          <w:szCs w:val="22"/>
          <w:lang w:eastAsia="el-GR"/>
        </w:rPr>
        <w:t>όμος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2664/1998 ορίζει ρητά ότι</w:t>
      </w:r>
      <w:r w:rsidR="00685F6C">
        <w:rPr>
          <w:rFonts w:asciiTheme="majorHAnsi" w:eastAsia="Calibri" w:hAnsiTheme="majorHAnsi" w:cstheme="majorHAnsi"/>
          <w:color w:val="000000"/>
          <w:szCs w:val="22"/>
          <w:lang w:eastAsia="el-GR"/>
        </w:rPr>
        <w:t>,</w:t>
      </w:r>
      <w:r w:rsidR="00231A3B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>κατά τη λειτουργία του Κτηματολογίου</w:t>
      </w:r>
      <w:r w:rsidR="00685F6C">
        <w:rPr>
          <w:rFonts w:asciiTheme="majorHAnsi" w:eastAsia="Calibri" w:hAnsiTheme="majorHAnsi" w:cstheme="majorHAnsi"/>
          <w:color w:val="000000"/>
          <w:szCs w:val="22"/>
          <w:lang w:eastAsia="el-GR"/>
        </w:rPr>
        <w:t>,</w:t>
      </w:r>
      <w:r w:rsidR="00231A3B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 </w:t>
      </w:r>
      <w:r w:rsidRPr="0004379D">
        <w:rPr>
          <w:rFonts w:asciiTheme="majorHAnsi" w:eastAsia="Calibri" w:hAnsiTheme="majorHAnsi" w:cstheme="majorHAnsi"/>
          <w:color w:val="000000"/>
          <w:szCs w:val="22"/>
          <w:lang w:eastAsia="el-GR"/>
        </w:rPr>
        <w:t xml:space="preserve">οι αγωγές με αναγνωριστικό αίτημα που επιφέρουν και διόρθωση των εγγραφών (στην προκειμένη περίπτωση, τον εκτοπισμό του αρχικού εγγεγραμμένου ιδιοκτήτη) ασκούνται ενώπιον του Πρωτοδικείου. </w:t>
      </w:r>
    </w:p>
    <w:p w14:paraId="4D41DA52" w14:textId="77777777" w:rsidR="0004379D" w:rsidRPr="0004379D" w:rsidRDefault="0004379D" w:rsidP="00111911">
      <w:pPr>
        <w:pStyle w:val="PlainText"/>
        <w:spacing w:line="360" w:lineRule="auto"/>
        <w:jc w:val="both"/>
        <w:rPr>
          <w:rFonts w:asciiTheme="majorHAnsi" w:eastAsia="Calibri" w:hAnsiTheme="majorHAnsi" w:cstheme="majorHAnsi"/>
          <w:color w:val="000000"/>
          <w:szCs w:val="22"/>
          <w:lang w:eastAsia="el-GR"/>
        </w:rPr>
      </w:pPr>
    </w:p>
    <w:p w14:paraId="7C6C20F5" w14:textId="77777777" w:rsidR="006970A0" w:rsidRPr="00D16A27" w:rsidRDefault="006970A0" w:rsidP="00111911">
      <w:pPr>
        <w:spacing w:line="360" w:lineRule="auto"/>
        <w:jc w:val="both"/>
        <w:rPr>
          <w:rFonts w:asciiTheme="majorHAnsi" w:eastAsia="Tahoma" w:hAnsiTheme="majorHAnsi" w:cstheme="majorHAnsi"/>
          <w:b/>
          <w:color w:val="000000"/>
        </w:rPr>
      </w:pPr>
      <w:r w:rsidRPr="00D16A27">
        <w:rPr>
          <w:rFonts w:asciiTheme="majorHAnsi" w:eastAsia="Tahoma" w:hAnsiTheme="majorHAnsi" w:cstheme="majorHAnsi"/>
          <w:b/>
          <w:color w:val="000000"/>
        </w:rPr>
        <w:t>Η αντίδραση του Κτηματολογίου</w:t>
      </w:r>
    </w:p>
    <w:p w14:paraId="34B380BD" w14:textId="1954B78C" w:rsidR="00A112AF" w:rsidRDefault="006970A0" w:rsidP="00A112AF">
      <w:pPr>
        <w:spacing w:line="360" w:lineRule="auto"/>
        <w:jc w:val="both"/>
        <w:rPr>
          <w:rFonts w:asciiTheme="majorHAnsi" w:eastAsia="Calibri" w:hAnsiTheme="majorHAnsi" w:cstheme="majorHAnsi"/>
          <w:color w:val="000000"/>
        </w:rPr>
      </w:pPr>
      <w:r w:rsidRPr="00111911">
        <w:rPr>
          <w:rFonts w:asciiTheme="majorHAnsi" w:eastAsia="Calibri" w:hAnsiTheme="majorHAnsi" w:cstheme="majorHAnsi"/>
          <w:color w:val="000000"/>
        </w:rPr>
        <w:t>Όταν ο δικηγόρος προσκόμισε την απόφαση προς εγγραφή στο Κτηματολόγιο, η Προϊσταμένη απέρριψε το αίτημα, επικαλούμενη την τυπική παραπομπή στις ως άνω διατάξεις</w:t>
      </w:r>
      <w:r w:rsidR="000378DE" w:rsidRPr="00111911">
        <w:rPr>
          <w:rFonts w:asciiTheme="majorHAnsi" w:eastAsia="Calibri" w:hAnsiTheme="majorHAnsi" w:cstheme="majorHAnsi"/>
          <w:color w:val="000000"/>
        </w:rPr>
        <w:t xml:space="preserve"> του</w:t>
      </w:r>
      <w:r w:rsidRPr="00111911">
        <w:rPr>
          <w:rFonts w:asciiTheme="majorHAnsi" w:eastAsia="Calibri" w:hAnsiTheme="majorHAnsi" w:cstheme="majorHAnsi"/>
          <w:color w:val="000000"/>
        </w:rPr>
        <w:t xml:space="preserve"> </w:t>
      </w:r>
      <w:r w:rsidR="000378DE" w:rsidRPr="00D16A27">
        <w:rPr>
          <w:rFonts w:asciiTheme="majorHAnsi" w:eastAsia="Calibri" w:hAnsiTheme="majorHAnsi" w:cstheme="majorHAnsi"/>
          <w:color w:val="000000"/>
        </w:rPr>
        <w:t>νόμου 2664/1998</w:t>
      </w:r>
      <w:r w:rsidR="006B5223" w:rsidRPr="006B5223">
        <w:rPr>
          <w:rFonts w:asciiTheme="majorHAnsi" w:eastAsia="Calibri" w:hAnsiTheme="majorHAnsi" w:cstheme="majorHAnsi"/>
          <w:color w:val="000000"/>
        </w:rPr>
        <w:t>.</w:t>
      </w:r>
      <w:r w:rsidR="00A112AF">
        <w:rPr>
          <w:rFonts w:asciiTheme="majorHAnsi" w:eastAsia="Calibri" w:hAnsiTheme="majorHAnsi" w:cstheme="majorHAnsi"/>
          <w:color w:val="000000"/>
        </w:rPr>
        <w:t xml:space="preserve"> </w:t>
      </w:r>
      <w:r w:rsidRPr="00111911">
        <w:rPr>
          <w:rFonts w:asciiTheme="majorHAnsi" w:eastAsia="Calibri" w:hAnsiTheme="majorHAnsi" w:cstheme="majorHAnsi"/>
          <w:color w:val="000000"/>
        </w:rPr>
        <w:t xml:space="preserve">Ο δικηγόρος προσέφυγε στην εκούσια δικαιοδοσία κατά της άρνησης και </w:t>
      </w:r>
      <w:proofErr w:type="spellStart"/>
      <w:r w:rsidRPr="00111911">
        <w:rPr>
          <w:rFonts w:asciiTheme="majorHAnsi" w:eastAsia="Calibri" w:hAnsiTheme="majorHAnsi" w:cstheme="majorHAnsi"/>
          <w:color w:val="000000"/>
        </w:rPr>
        <w:t>εξεδόθη</w:t>
      </w:r>
      <w:proofErr w:type="spellEnd"/>
      <w:r w:rsidRPr="00111911">
        <w:rPr>
          <w:rFonts w:asciiTheme="majorHAnsi" w:eastAsia="Calibri" w:hAnsiTheme="majorHAnsi" w:cstheme="majorHAnsi"/>
          <w:color w:val="000000"/>
        </w:rPr>
        <w:t xml:space="preserve"> θετική απόφαση που διατάσσει την εγγραφή της αρχικής απόφασης.</w:t>
      </w:r>
      <w:r w:rsidR="00373539">
        <w:rPr>
          <w:rFonts w:asciiTheme="majorHAnsi" w:eastAsia="Calibri" w:hAnsiTheme="majorHAnsi" w:cstheme="majorHAnsi"/>
          <w:color w:val="000000"/>
        </w:rPr>
        <w:t xml:space="preserve"> </w:t>
      </w:r>
      <w:r w:rsidRPr="00111911">
        <w:rPr>
          <w:rFonts w:asciiTheme="majorHAnsi" w:eastAsia="Calibri" w:hAnsiTheme="majorHAnsi" w:cstheme="majorHAnsi"/>
          <w:color w:val="000000"/>
        </w:rPr>
        <w:t>Στη συνέχεια η Προϊσταμένη εκτέλεσε την απόφαση όπως ορίζει ξεκάθαρα ο νόμος.</w:t>
      </w:r>
    </w:p>
    <w:p w14:paraId="7ACD6A86" w14:textId="77777777" w:rsidR="00A112AF" w:rsidRDefault="00A112AF" w:rsidP="00A112AF">
      <w:pPr>
        <w:spacing w:line="360" w:lineRule="auto"/>
        <w:jc w:val="both"/>
        <w:rPr>
          <w:rFonts w:asciiTheme="majorHAnsi" w:eastAsia="Calibri" w:hAnsiTheme="majorHAnsi" w:cstheme="majorHAnsi"/>
          <w:color w:val="000000"/>
        </w:rPr>
      </w:pPr>
    </w:p>
    <w:p w14:paraId="155A48DD" w14:textId="4153342C" w:rsidR="00E43B6C" w:rsidRPr="000F5284" w:rsidRDefault="00E43B6C" w:rsidP="00A112AF">
      <w:pPr>
        <w:spacing w:line="360" w:lineRule="auto"/>
        <w:jc w:val="both"/>
        <w:rPr>
          <w:rFonts w:asciiTheme="majorHAnsi" w:eastAsia="Calibri" w:hAnsiTheme="majorHAnsi" w:cstheme="majorHAnsi"/>
          <w:color w:val="000000"/>
        </w:rPr>
      </w:pPr>
      <w:r w:rsidRPr="000F5284">
        <w:rPr>
          <w:rFonts w:asciiTheme="majorHAnsi" w:eastAsia="Calibri" w:hAnsiTheme="majorHAnsi" w:cstheme="majorHAnsi"/>
          <w:color w:val="000000"/>
        </w:rPr>
        <w:t>Συνεπώς, η υπόθεση αφορά στην επίλυση ενός ερμηνευτικού ζητήματος για την εφαρμογή μ</w:t>
      </w:r>
      <w:r w:rsidR="00A112AF">
        <w:rPr>
          <w:rFonts w:asciiTheme="majorHAnsi" w:eastAsia="Calibri" w:hAnsiTheme="majorHAnsi" w:cstheme="majorHAnsi"/>
          <w:color w:val="000000"/>
        </w:rPr>
        <w:t>ί</w:t>
      </w:r>
      <w:r w:rsidRPr="000F5284">
        <w:rPr>
          <w:rFonts w:asciiTheme="majorHAnsi" w:eastAsia="Calibri" w:hAnsiTheme="majorHAnsi" w:cstheme="majorHAnsi"/>
          <w:color w:val="000000"/>
        </w:rPr>
        <w:t>ας δικαστικής απόφασης, η οποία εκδόθηκε από Δικαστήριο διαφορετικής καθ</w:t>
      </w:r>
      <w:r w:rsidR="00A112AF">
        <w:rPr>
          <w:rFonts w:asciiTheme="majorHAnsi" w:eastAsia="Calibri" w:hAnsiTheme="majorHAnsi" w:cstheme="majorHAnsi"/>
          <w:color w:val="000000"/>
        </w:rPr>
        <w:t>΄</w:t>
      </w:r>
      <w:r w:rsidRPr="000F5284">
        <w:rPr>
          <w:rFonts w:asciiTheme="majorHAnsi" w:eastAsia="Calibri" w:hAnsiTheme="majorHAnsi" w:cstheme="majorHAnsi"/>
          <w:color w:val="000000"/>
        </w:rPr>
        <w:t xml:space="preserve"> ύλην αρμοδιότητας (Ειρηνοδικείο) από αυτήν που προβλέπει ο νόμος 2664/1998 (Πρωτοδικείο).</w:t>
      </w:r>
      <w:r w:rsidR="007F3421" w:rsidRPr="000F5284">
        <w:rPr>
          <w:rFonts w:asciiTheme="majorHAnsi" w:eastAsia="Calibri" w:hAnsiTheme="majorHAnsi" w:cstheme="majorHAnsi"/>
          <w:color w:val="000000"/>
        </w:rPr>
        <w:t xml:space="preserve"> </w:t>
      </w:r>
      <w:r w:rsidRPr="000F5284">
        <w:rPr>
          <w:rFonts w:asciiTheme="majorHAnsi" w:eastAsia="Calibri" w:hAnsiTheme="majorHAnsi" w:cstheme="majorHAnsi"/>
          <w:color w:val="000000"/>
        </w:rPr>
        <w:t>Σε καμία περίπτωση δεν συντρέχει θέμα άρνησης για την εφαρμογή δικαστικών αποφάσεων ή μη συμμόρφωσης σε αυτές από τις υπηρεσίες του Κτηματολογίου.</w:t>
      </w:r>
      <w:r w:rsidR="00781F7A">
        <w:rPr>
          <w:rFonts w:asciiTheme="majorHAnsi" w:eastAsia="Calibri" w:hAnsiTheme="majorHAnsi" w:cstheme="majorHAnsi"/>
          <w:color w:val="000000"/>
        </w:rPr>
        <w:t xml:space="preserve"> </w:t>
      </w:r>
      <w:r w:rsidRPr="000F5284">
        <w:rPr>
          <w:rFonts w:asciiTheme="majorHAnsi" w:eastAsia="Calibri" w:hAnsiTheme="majorHAnsi" w:cstheme="majorHAnsi"/>
          <w:color w:val="000000"/>
        </w:rPr>
        <w:t>Ειδικά και ως προς τη χρησικτησία, αυτή αναγνωρίζεται από το ελληνικό δίκαιο ως νόμιμη αιτία κτήσης, υπό τις προβλέψεις του Αστικού Κώδικα και</w:t>
      </w:r>
      <w:r w:rsidR="00A112AF">
        <w:rPr>
          <w:rFonts w:asciiTheme="majorHAnsi" w:eastAsia="Calibri" w:hAnsiTheme="majorHAnsi" w:cstheme="majorHAnsi"/>
          <w:color w:val="000000"/>
        </w:rPr>
        <w:t>,</w:t>
      </w:r>
      <w:r w:rsidRPr="000F5284">
        <w:rPr>
          <w:rFonts w:asciiTheme="majorHAnsi" w:eastAsia="Calibri" w:hAnsiTheme="majorHAnsi" w:cstheme="majorHAnsi"/>
          <w:color w:val="000000"/>
        </w:rPr>
        <w:t xml:space="preserve"> στις περιοχές που λειτουργεί Κτηματολόγιο,</w:t>
      </w:r>
      <w:r w:rsidR="00A112AF">
        <w:rPr>
          <w:rFonts w:asciiTheme="majorHAnsi" w:eastAsia="Calibri" w:hAnsiTheme="majorHAnsi" w:cstheme="majorHAnsi"/>
          <w:color w:val="000000"/>
        </w:rPr>
        <w:t xml:space="preserve"> </w:t>
      </w:r>
      <w:r w:rsidRPr="000F5284">
        <w:rPr>
          <w:rFonts w:asciiTheme="majorHAnsi" w:eastAsia="Calibri" w:hAnsiTheme="majorHAnsi" w:cstheme="majorHAnsi"/>
          <w:color w:val="000000"/>
        </w:rPr>
        <w:t>επιβάλλεται η επίλυση του θέματος ενώπιον των τακτικών πολιτικών Δικαστηρίων και η έκδοση σχετικής απόφασης, σε συνδυασμό με την τήρηση των προϋποθέσεων της κτηματολογικής νομοθεσίας.</w:t>
      </w:r>
    </w:p>
    <w:p w14:paraId="43A9FB69" w14:textId="77777777" w:rsidR="00E43B6C" w:rsidRPr="00024FB5" w:rsidRDefault="00E43B6C" w:rsidP="00111911">
      <w:pPr>
        <w:pStyle w:val="font-medium"/>
        <w:shd w:val="clear" w:color="auto" w:fill="FFFFFF"/>
        <w:spacing w:before="0" w:beforeAutospacing="0" w:after="0" w:afterAutospacing="0" w:line="360" w:lineRule="auto"/>
        <w:textAlignment w:val="baseline"/>
        <w:rPr>
          <w:rFonts w:asciiTheme="majorHAnsi" w:eastAsia="Calibri" w:hAnsiTheme="majorHAnsi" w:cstheme="majorHAnsi"/>
          <w:sz w:val="22"/>
          <w:szCs w:val="22"/>
        </w:rPr>
      </w:pPr>
    </w:p>
    <w:p w14:paraId="33410FA1" w14:textId="77777777" w:rsidR="00E43B6C" w:rsidRPr="00024FB5" w:rsidRDefault="00E43B6C" w:rsidP="00111911">
      <w:pPr>
        <w:spacing w:line="360" w:lineRule="auto"/>
        <w:rPr>
          <w:rFonts w:asciiTheme="majorHAnsi" w:eastAsia="Tahoma" w:hAnsiTheme="majorHAnsi" w:cstheme="majorHAnsi"/>
          <w:i/>
        </w:rPr>
      </w:pPr>
    </w:p>
    <w:p w14:paraId="15AE0466" w14:textId="53D1ED5F" w:rsidR="004F773E" w:rsidRPr="00E5312F" w:rsidRDefault="004F773E" w:rsidP="00111911">
      <w:pPr>
        <w:pStyle w:val="font-medium"/>
        <w:shd w:val="clear" w:color="auto" w:fill="FFFFFF"/>
        <w:spacing w:before="0" w:beforeAutospacing="0" w:after="0" w:afterAutospacing="0" w:line="360" w:lineRule="auto"/>
        <w:textAlignment w:val="baseline"/>
        <w:rPr>
          <w:rFonts w:ascii="Calibri" w:eastAsia="Calibri" w:hAnsi="Calibri"/>
          <w:sz w:val="22"/>
          <w:szCs w:val="22"/>
        </w:rPr>
      </w:pPr>
    </w:p>
    <w:sectPr w:rsidR="004F773E" w:rsidRPr="00E5312F" w:rsidSect="001F20F4">
      <w:pgSz w:w="12240" w:h="15840"/>
      <w:pgMar w:top="284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2223A"/>
    <w:multiLevelType w:val="hybridMultilevel"/>
    <w:tmpl w:val="203CF362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" w15:restartNumberingAfterBreak="0">
    <w:nsid w:val="0A452F47"/>
    <w:multiLevelType w:val="hybridMultilevel"/>
    <w:tmpl w:val="8C948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06D36"/>
    <w:multiLevelType w:val="hybridMultilevel"/>
    <w:tmpl w:val="89CCCC5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EC02E6">
      <w:numFmt w:val="bullet"/>
      <w:lvlText w:val="•"/>
      <w:lvlJc w:val="left"/>
      <w:pPr>
        <w:ind w:left="1800" w:hanging="720"/>
      </w:pPr>
      <w:rPr>
        <w:rFonts w:ascii="Times New Roman" w:eastAsia="Calibri" w:hAnsi="Times New Roman" w:cs="Times New Roman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AC27A2"/>
    <w:multiLevelType w:val="hybridMultilevel"/>
    <w:tmpl w:val="1332BBE6"/>
    <w:lvl w:ilvl="0" w:tplc="1E9EFB58">
      <w:start w:val="1"/>
      <w:numFmt w:val="upperLetter"/>
      <w:lvlText w:val="%1)"/>
      <w:lvlJc w:val="left"/>
      <w:pPr>
        <w:ind w:left="720" w:hanging="360"/>
      </w:pPr>
      <w:rPr>
        <w:rFonts w:cs="Arial" w:hint="default"/>
        <w:b/>
        <w:sz w:val="24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7D5544"/>
    <w:multiLevelType w:val="hybridMultilevel"/>
    <w:tmpl w:val="B660387C"/>
    <w:lvl w:ilvl="0" w:tplc="040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85FDF"/>
    <w:multiLevelType w:val="hybridMultilevel"/>
    <w:tmpl w:val="522E320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CF32CB"/>
    <w:multiLevelType w:val="hybridMultilevel"/>
    <w:tmpl w:val="CBA40FF2"/>
    <w:lvl w:ilvl="0" w:tplc="0408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44FB022B"/>
    <w:multiLevelType w:val="hybridMultilevel"/>
    <w:tmpl w:val="EDD4A132"/>
    <w:lvl w:ilvl="0" w:tplc="0408000B">
      <w:start w:val="1"/>
      <w:numFmt w:val="bullet"/>
      <w:lvlText w:val=""/>
      <w:lvlJc w:val="left"/>
      <w:pPr>
        <w:ind w:left="788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8" w15:restartNumberingAfterBreak="0">
    <w:nsid w:val="483C60A4"/>
    <w:multiLevelType w:val="hybridMultilevel"/>
    <w:tmpl w:val="6D409B02"/>
    <w:lvl w:ilvl="0" w:tplc="D29C5D46">
      <w:start w:val="1"/>
      <w:numFmt w:val="decimal"/>
      <w:lvlText w:val="%1."/>
      <w:lvlJc w:val="left"/>
      <w:pPr>
        <w:ind w:left="1800" w:hanging="360"/>
      </w:pPr>
      <w:rPr>
        <w:rFonts w:hint="default"/>
        <w:sz w:val="22"/>
      </w:rPr>
    </w:lvl>
    <w:lvl w:ilvl="1" w:tplc="04080019" w:tentative="1">
      <w:start w:val="1"/>
      <w:numFmt w:val="lowerLetter"/>
      <w:lvlText w:val="%2."/>
      <w:lvlJc w:val="left"/>
      <w:pPr>
        <w:ind w:left="2520" w:hanging="360"/>
      </w:pPr>
    </w:lvl>
    <w:lvl w:ilvl="2" w:tplc="0408001B" w:tentative="1">
      <w:start w:val="1"/>
      <w:numFmt w:val="lowerRoman"/>
      <w:lvlText w:val="%3."/>
      <w:lvlJc w:val="right"/>
      <w:pPr>
        <w:ind w:left="3240" w:hanging="180"/>
      </w:pPr>
    </w:lvl>
    <w:lvl w:ilvl="3" w:tplc="0408000F" w:tentative="1">
      <w:start w:val="1"/>
      <w:numFmt w:val="decimal"/>
      <w:lvlText w:val="%4."/>
      <w:lvlJc w:val="left"/>
      <w:pPr>
        <w:ind w:left="3960" w:hanging="360"/>
      </w:pPr>
    </w:lvl>
    <w:lvl w:ilvl="4" w:tplc="04080019" w:tentative="1">
      <w:start w:val="1"/>
      <w:numFmt w:val="lowerLetter"/>
      <w:lvlText w:val="%5."/>
      <w:lvlJc w:val="left"/>
      <w:pPr>
        <w:ind w:left="4680" w:hanging="360"/>
      </w:pPr>
    </w:lvl>
    <w:lvl w:ilvl="5" w:tplc="0408001B" w:tentative="1">
      <w:start w:val="1"/>
      <w:numFmt w:val="lowerRoman"/>
      <w:lvlText w:val="%6."/>
      <w:lvlJc w:val="right"/>
      <w:pPr>
        <w:ind w:left="5400" w:hanging="180"/>
      </w:pPr>
    </w:lvl>
    <w:lvl w:ilvl="6" w:tplc="0408000F" w:tentative="1">
      <w:start w:val="1"/>
      <w:numFmt w:val="decimal"/>
      <w:lvlText w:val="%7."/>
      <w:lvlJc w:val="left"/>
      <w:pPr>
        <w:ind w:left="6120" w:hanging="360"/>
      </w:pPr>
    </w:lvl>
    <w:lvl w:ilvl="7" w:tplc="04080019" w:tentative="1">
      <w:start w:val="1"/>
      <w:numFmt w:val="lowerLetter"/>
      <w:lvlText w:val="%8."/>
      <w:lvlJc w:val="left"/>
      <w:pPr>
        <w:ind w:left="6840" w:hanging="360"/>
      </w:pPr>
    </w:lvl>
    <w:lvl w:ilvl="8" w:tplc="040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5D6960DD"/>
    <w:multiLevelType w:val="hybridMultilevel"/>
    <w:tmpl w:val="B2F6F6F4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C50153"/>
    <w:multiLevelType w:val="hybridMultilevel"/>
    <w:tmpl w:val="D7F2DEA0"/>
    <w:lvl w:ilvl="0" w:tplc="040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F2D53C0"/>
    <w:multiLevelType w:val="hybridMultilevel"/>
    <w:tmpl w:val="6D1E8C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3D56D5"/>
    <w:multiLevelType w:val="hybridMultilevel"/>
    <w:tmpl w:val="E6862D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12"/>
  </w:num>
  <w:num w:numId="4">
    <w:abstractNumId w:val="2"/>
  </w:num>
  <w:num w:numId="5">
    <w:abstractNumId w:val="3"/>
  </w:num>
  <w:num w:numId="6">
    <w:abstractNumId w:val="4"/>
  </w:num>
  <w:num w:numId="7">
    <w:abstractNumId w:val="8"/>
  </w:num>
  <w:num w:numId="8">
    <w:abstractNumId w:val="7"/>
  </w:num>
  <w:num w:numId="9">
    <w:abstractNumId w:val="9"/>
  </w:num>
  <w:num w:numId="10">
    <w:abstractNumId w:val="5"/>
  </w:num>
  <w:num w:numId="11">
    <w:abstractNumId w:val="6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D6B"/>
    <w:rsid w:val="000033CE"/>
    <w:rsid w:val="000230F9"/>
    <w:rsid w:val="00024FB5"/>
    <w:rsid w:val="00033736"/>
    <w:rsid w:val="00034AE7"/>
    <w:rsid w:val="000378DE"/>
    <w:rsid w:val="00041539"/>
    <w:rsid w:val="0004184B"/>
    <w:rsid w:val="00042414"/>
    <w:rsid w:val="0004379D"/>
    <w:rsid w:val="00045BAF"/>
    <w:rsid w:val="00056132"/>
    <w:rsid w:val="000618EF"/>
    <w:rsid w:val="00081157"/>
    <w:rsid w:val="00081E9C"/>
    <w:rsid w:val="00083A28"/>
    <w:rsid w:val="0008445E"/>
    <w:rsid w:val="00091361"/>
    <w:rsid w:val="000B50DE"/>
    <w:rsid w:val="000B7B02"/>
    <w:rsid w:val="000C4948"/>
    <w:rsid w:val="000D2684"/>
    <w:rsid w:val="000F367F"/>
    <w:rsid w:val="000F3FC0"/>
    <w:rsid w:val="000F5284"/>
    <w:rsid w:val="00102E94"/>
    <w:rsid w:val="00106E47"/>
    <w:rsid w:val="00111911"/>
    <w:rsid w:val="0011756C"/>
    <w:rsid w:val="00117F86"/>
    <w:rsid w:val="0012679E"/>
    <w:rsid w:val="00180C15"/>
    <w:rsid w:val="00191AE2"/>
    <w:rsid w:val="001A2858"/>
    <w:rsid w:val="001A3859"/>
    <w:rsid w:val="001B581E"/>
    <w:rsid w:val="001B6E51"/>
    <w:rsid w:val="001B7817"/>
    <w:rsid w:val="001D7278"/>
    <w:rsid w:val="001D72F7"/>
    <w:rsid w:val="001F20F4"/>
    <w:rsid w:val="002026CD"/>
    <w:rsid w:val="00215D6B"/>
    <w:rsid w:val="00224CA5"/>
    <w:rsid w:val="00226340"/>
    <w:rsid w:val="00231A3B"/>
    <w:rsid w:val="00250004"/>
    <w:rsid w:val="002579B3"/>
    <w:rsid w:val="00286F27"/>
    <w:rsid w:val="002A543E"/>
    <w:rsid w:val="002A6F2C"/>
    <w:rsid w:val="002B2199"/>
    <w:rsid w:val="002C31BD"/>
    <w:rsid w:val="002D5080"/>
    <w:rsid w:val="002F4A61"/>
    <w:rsid w:val="0030120A"/>
    <w:rsid w:val="00350631"/>
    <w:rsid w:val="003601D4"/>
    <w:rsid w:val="0036591E"/>
    <w:rsid w:val="00366EA6"/>
    <w:rsid w:val="0037145A"/>
    <w:rsid w:val="00373539"/>
    <w:rsid w:val="00374BE4"/>
    <w:rsid w:val="0039576C"/>
    <w:rsid w:val="00396190"/>
    <w:rsid w:val="00396672"/>
    <w:rsid w:val="003B7763"/>
    <w:rsid w:val="003C3326"/>
    <w:rsid w:val="003C3F8C"/>
    <w:rsid w:val="003D0708"/>
    <w:rsid w:val="003D5C1C"/>
    <w:rsid w:val="003E386D"/>
    <w:rsid w:val="00446E5C"/>
    <w:rsid w:val="00455782"/>
    <w:rsid w:val="00464310"/>
    <w:rsid w:val="00481915"/>
    <w:rsid w:val="004943C9"/>
    <w:rsid w:val="00495431"/>
    <w:rsid w:val="00495B6B"/>
    <w:rsid w:val="00496738"/>
    <w:rsid w:val="004A1F6B"/>
    <w:rsid w:val="004D67B2"/>
    <w:rsid w:val="004E4368"/>
    <w:rsid w:val="004F3FE5"/>
    <w:rsid w:val="004F773E"/>
    <w:rsid w:val="00502C49"/>
    <w:rsid w:val="00512CED"/>
    <w:rsid w:val="00513A73"/>
    <w:rsid w:val="00524C76"/>
    <w:rsid w:val="00525E8E"/>
    <w:rsid w:val="00535043"/>
    <w:rsid w:val="00555816"/>
    <w:rsid w:val="00565311"/>
    <w:rsid w:val="00584DF5"/>
    <w:rsid w:val="0058596B"/>
    <w:rsid w:val="00586ADA"/>
    <w:rsid w:val="00596BB7"/>
    <w:rsid w:val="005B0B0D"/>
    <w:rsid w:val="005E142B"/>
    <w:rsid w:val="005E1FB4"/>
    <w:rsid w:val="00617157"/>
    <w:rsid w:val="00621D5D"/>
    <w:rsid w:val="00631673"/>
    <w:rsid w:val="006533AF"/>
    <w:rsid w:val="00662AB1"/>
    <w:rsid w:val="00664376"/>
    <w:rsid w:val="00671BFD"/>
    <w:rsid w:val="00675CEA"/>
    <w:rsid w:val="00685F6C"/>
    <w:rsid w:val="006970A0"/>
    <w:rsid w:val="006A2A22"/>
    <w:rsid w:val="006B5223"/>
    <w:rsid w:val="006C1A5F"/>
    <w:rsid w:val="006D193C"/>
    <w:rsid w:val="006F5DD9"/>
    <w:rsid w:val="006F78CA"/>
    <w:rsid w:val="00701E56"/>
    <w:rsid w:val="00704DF9"/>
    <w:rsid w:val="00707054"/>
    <w:rsid w:val="007116F6"/>
    <w:rsid w:val="007122F9"/>
    <w:rsid w:val="00713DF4"/>
    <w:rsid w:val="00715151"/>
    <w:rsid w:val="00727083"/>
    <w:rsid w:val="00731147"/>
    <w:rsid w:val="007466F7"/>
    <w:rsid w:val="00747E00"/>
    <w:rsid w:val="007661A3"/>
    <w:rsid w:val="0077213C"/>
    <w:rsid w:val="00781F7A"/>
    <w:rsid w:val="0079557C"/>
    <w:rsid w:val="0079780B"/>
    <w:rsid w:val="007E7608"/>
    <w:rsid w:val="007F2454"/>
    <w:rsid w:val="007F3421"/>
    <w:rsid w:val="008004C0"/>
    <w:rsid w:val="00800BC7"/>
    <w:rsid w:val="00803A97"/>
    <w:rsid w:val="008053DC"/>
    <w:rsid w:val="008157DF"/>
    <w:rsid w:val="00826D39"/>
    <w:rsid w:val="00841445"/>
    <w:rsid w:val="00855568"/>
    <w:rsid w:val="00885C7B"/>
    <w:rsid w:val="00887D8E"/>
    <w:rsid w:val="008935AF"/>
    <w:rsid w:val="008A4D2F"/>
    <w:rsid w:val="008A7867"/>
    <w:rsid w:val="008B6AD7"/>
    <w:rsid w:val="008C506B"/>
    <w:rsid w:val="008E4DA4"/>
    <w:rsid w:val="008F146F"/>
    <w:rsid w:val="008F69CD"/>
    <w:rsid w:val="00901A61"/>
    <w:rsid w:val="00916F15"/>
    <w:rsid w:val="00920018"/>
    <w:rsid w:val="0092243B"/>
    <w:rsid w:val="009255BC"/>
    <w:rsid w:val="009347B1"/>
    <w:rsid w:val="009351E6"/>
    <w:rsid w:val="0094437D"/>
    <w:rsid w:val="009476BC"/>
    <w:rsid w:val="009626FF"/>
    <w:rsid w:val="00991C5E"/>
    <w:rsid w:val="009921B7"/>
    <w:rsid w:val="00992AFA"/>
    <w:rsid w:val="009D51A1"/>
    <w:rsid w:val="009E0B04"/>
    <w:rsid w:val="009E2CAA"/>
    <w:rsid w:val="009E408B"/>
    <w:rsid w:val="009F1CB1"/>
    <w:rsid w:val="009F2E7C"/>
    <w:rsid w:val="00A00AC4"/>
    <w:rsid w:val="00A10BD6"/>
    <w:rsid w:val="00A112AF"/>
    <w:rsid w:val="00A11AA8"/>
    <w:rsid w:val="00A16D4F"/>
    <w:rsid w:val="00A170C7"/>
    <w:rsid w:val="00A21588"/>
    <w:rsid w:val="00A261BD"/>
    <w:rsid w:val="00A33080"/>
    <w:rsid w:val="00A4059C"/>
    <w:rsid w:val="00A71F2E"/>
    <w:rsid w:val="00A83E28"/>
    <w:rsid w:val="00A86993"/>
    <w:rsid w:val="00A91192"/>
    <w:rsid w:val="00AB056E"/>
    <w:rsid w:val="00AB1B04"/>
    <w:rsid w:val="00AB5159"/>
    <w:rsid w:val="00AB66C3"/>
    <w:rsid w:val="00AB768D"/>
    <w:rsid w:val="00AC129E"/>
    <w:rsid w:val="00AC2406"/>
    <w:rsid w:val="00AC2A9B"/>
    <w:rsid w:val="00AD2408"/>
    <w:rsid w:val="00AD36A1"/>
    <w:rsid w:val="00AD79C8"/>
    <w:rsid w:val="00AF5DF3"/>
    <w:rsid w:val="00AF732A"/>
    <w:rsid w:val="00B04A0E"/>
    <w:rsid w:val="00B11539"/>
    <w:rsid w:val="00B14EEB"/>
    <w:rsid w:val="00B23929"/>
    <w:rsid w:val="00B33A36"/>
    <w:rsid w:val="00B50ECA"/>
    <w:rsid w:val="00B5416B"/>
    <w:rsid w:val="00B566B2"/>
    <w:rsid w:val="00B63983"/>
    <w:rsid w:val="00B66E9D"/>
    <w:rsid w:val="00B672D3"/>
    <w:rsid w:val="00B9074D"/>
    <w:rsid w:val="00BA000F"/>
    <w:rsid w:val="00BA2679"/>
    <w:rsid w:val="00BA425E"/>
    <w:rsid w:val="00BA6CB9"/>
    <w:rsid w:val="00BA7E74"/>
    <w:rsid w:val="00BB19C5"/>
    <w:rsid w:val="00BB770B"/>
    <w:rsid w:val="00BC037C"/>
    <w:rsid w:val="00BC43F8"/>
    <w:rsid w:val="00BD6BB8"/>
    <w:rsid w:val="00C11D16"/>
    <w:rsid w:val="00C2095B"/>
    <w:rsid w:val="00C3389F"/>
    <w:rsid w:val="00C40687"/>
    <w:rsid w:val="00C53802"/>
    <w:rsid w:val="00C9622A"/>
    <w:rsid w:val="00C97AF2"/>
    <w:rsid w:val="00CA3790"/>
    <w:rsid w:val="00CA6DC9"/>
    <w:rsid w:val="00CB1B25"/>
    <w:rsid w:val="00CC4E14"/>
    <w:rsid w:val="00CD552C"/>
    <w:rsid w:val="00CD5BBA"/>
    <w:rsid w:val="00CE0010"/>
    <w:rsid w:val="00CE5EAE"/>
    <w:rsid w:val="00CF760A"/>
    <w:rsid w:val="00D10817"/>
    <w:rsid w:val="00D16A27"/>
    <w:rsid w:val="00D2340D"/>
    <w:rsid w:val="00D30001"/>
    <w:rsid w:val="00D4057B"/>
    <w:rsid w:val="00D4480F"/>
    <w:rsid w:val="00D73AD3"/>
    <w:rsid w:val="00D87AF1"/>
    <w:rsid w:val="00D92ACC"/>
    <w:rsid w:val="00DA0874"/>
    <w:rsid w:val="00DA3E18"/>
    <w:rsid w:val="00DB03F8"/>
    <w:rsid w:val="00DD52FB"/>
    <w:rsid w:val="00DD72E2"/>
    <w:rsid w:val="00DE4946"/>
    <w:rsid w:val="00DF3D69"/>
    <w:rsid w:val="00E13DE5"/>
    <w:rsid w:val="00E252B5"/>
    <w:rsid w:val="00E43B6C"/>
    <w:rsid w:val="00E5312F"/>
    <w:rsid w:val="00E5712B"/>
    <w:rsid w:val="00E57BBB"/>
    <w:rsid w:val="00E60786"/>
    <w:rsid w:val="00E769FC"/>
    <w:rsid w:val="00E85785"/>
    <w:rsid w:val="00EB55AF"/>
    <w:rsid w:val="00EC643C"/>
    <w:rsid w:val="00ED3072"/>
    <w:rsid w:val="00ED5973"/>
    <w:rsid w:val="00EE5B94"/>
    <w:rsid w:val="00EE6758"/>
    <w:rsid w:val="00EF7347"/>
    <w:rsid w:val="00F038DC"/>
    <w:rsid w:val="00F06F05"/>
    <w:rsid w:val="00F07371"/>
    <w:rsid w:val="00F125C2"/>
    <w:rsid w:val="00F204B4"/>
    <w:rsid w:val="00F215B3"/>
    <w:rsid w:val="00F436D5"/>
    <w:rsid w:val="00F73838"/>
    <w:rsid w:val="00F74907"/>
    <w:rsid w:val="00F77135"/>
    <w:rsid w:val="00FD4D2E"/>
    <w:rsid w:val="00FD69E5"/>
    <w:rsid w:val="00FF7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0EA76"/>
  <w15:docId w15:val="{0C4856D3-26C9-4602-8820-17B6FCB26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l-GR" w:eastAsia="el-G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uiPriority w:val="99"/>
    <w:unhideWhenUsed/>
    <w:rsid w:val="008C506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80C15"/>
    <w:pPr>
      <w:spacing w:line="240" w:lineRule="auto"/>
      <w:ind w:left="720"/>
      <w:contextualSpacing/>
    </w:pPr>
    <w:rPr>
      <w:rFonts w:ascii="Calibri" w:eastAsiaTheme="minorHAnsi" w:hAnsi="Calibri" w:cs="Times New Roman"/>
      <w:lang w:eastAsia="en-US"/>
    </w:rPr>
  </w:style>
  <w:style w:type="paragraph" w:styleId="NormalWeb">
    <w:name w:val="Normal (Web)"/>
    <w:basedOn w:val="Normal"/>
    <w:uiPriority w:val="99"/>
    <w:unhideWhenUsed/>
    <w:rsid w:val="00180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80C15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634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634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F3D69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rsid w:val="007122F9"/>
    <w:pPr>
      <w:widowControl w:val="0"/>
      <w:tabs>
        <w:tab w:val="center" w:pos="4153"/>
        <w:tab w:val="right" w:pos="8306"/>
      </w:tabs>
      <w:autoSpaceDE w:val="0"/>
      <w:autoSpaceDN w:val="0"/>
      <w:adjustRightInd w:val="0"/>
      <w:spacing w:line="240" w:lineRule="auto"/>
    </w:pPr>
    <w:rPr>
      <w:rFonts w:eastAsia="Times New Roman"/>
      <w:sz w:val="20"/>
      <w:szCs w:val="20"/>
      <w:lang w:val="en-US" w:eastAsia="en-US"/>
    </w:rPr>
  </w:style>
  <w:style w:type="character" w:customStyle="1" w:styleId="FooterChar">
    <w:name w:val="Footer Char"/>
    <w:basedOn w:val="DefaultParagraphFont"/>
    <w:link w:val="Footer"/>
    <w:rsid w:val="007122F9"/>
    <w:rPr>
      <w:rFonts w:eastAsia="Times New Roman"/>
      <w:sz w:val="20"/>
      <w:szCs w:val="20"/>
      <w:lang w:val="en-US" w:eastAsia="en-US"/>
    </w:rPr>
  </w:style>
  <w:style w:type="paragraph" w:customStyle="1" w:styleId="xmsonormal">
    <w:name w:val="x_msonormal"/>
    <w:basedOn w:val="Normal"/>
    <w:rsid w:val="00F204B4"/>
    <w:pPr>
      <w:spacing w:line="240" w:lineRule="auto"/>
    </w:pPr>
    <w:rPr>
      <w:rFonts w:ascii="Calibri" w:eastAsiaTheme="minorHAnsi" w:hAnsi="Calibri" w:cs="Times New Roman"/>
    </w:rPr>
  </w:style>
  <w:style w:type="paragraph" w:customStyle="1" w:styleId="elementtoproof">
    <w:name w:val="elementtoproof"/>
    <w:basedOn w:val="Normal"/>
    <w:uiPriority w:val="99"/>
    <w:semiHidden/>
    <w:rsid w:val="00083A28"/>
    <w:pPr>
      <w:spacing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font-medium">
    <w:name w:val="font-medium"/>
    <w:basedOn w:val="Normal"/>
    <w:rsid w:val="004F7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-normal">
    <w:name w:val="font-normal"/>
    <w:basedOn w:val="Normal"/>
    <w:rsid w:val="004F7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0F3FC0"/>
    <w:pPr>
      <w:spacing w:line="240" w:lineRule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F3FC0"/>
    <w:rPr>
      <w:rFonts w:ascii="Calibri" w:eastAsiaTheme="minorHAnsi" w:hAnsi="Calibri" w:cstheme="minorBidi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05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9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8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ressoffice@ktimatologio.g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qkPbbZrHfzQgrQ5oAv/l9wsGiw==">CgMxLjA4AHIhMUNNT25qZXktb21kSzNheUZObjRMT0FGX0R6OUJCMW5k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536</Words>
  <Characters>2900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>Ktimatologio</Company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Shadow</dc:creator>
  <cp:lastModifiedBy>Grigoriou Mariori</cp:lastModifiedBy>
  <cp:revision>13</cp:revision>
  <cp:lastPrinted>2024-02-09T10:09:00Z</cp:lastPrinted>
  <dcterms:created xsi:type="dcterms:W3CDTF">2025-09-01T09:04:00Z</dcterms:created>
  <dcterms:modified xsi:type="dcterms:W3CDTF">2025-09-01T12:15:00Z</dcterms:modified>
</cp:coreProperties>
</file>